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rPr>
        <w:t>梨树县白山</w:t>
      </w:r>
      <w:r>
        <w:rPr>
          <w:rFonts w:hint="eastAsia" w:ascii="宋体" w:hAnsi="宋体"/>
          <w:b/>
          <w:sz w:val="72"/>
          <w:szCs w:val="72"/>
          <w:lang w:eastAsia="zh-CN"/>
        </w:rPr>
        <w:t>乡</w:t>
      </w:r>
      <w:bookmarkStart w:id="0" w:name="_GoBack"/>
      <w:bookmarkEnd w:id="0"/>
      <w:r>
        <w:rPr>
          <w:rFonts w:hint="eastAsia" w:ascii="宋体" w:hAnsi="宋体"/>
          <w:b/>
          <w:sz w:val="72"/>
          <w:szCs w:val="72"/>
        </w:rPr>
        <w:t>中心</w:t>
      </w:r>
      <w:r>
        <w:rPr>
          <w:rFonts w:ascii="宋体" w:hAnsi="宋体"/>
          <w:b/>
          <w:sz w:val="72"/>
          <w:szCs w:val="72"/>
        </w:rPr>
        <w:t>小学校</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rPr>
        <w:t>2</w:t>
      </w:r>
      <w:r>
        <w:rPr>
          <w:rFonts w:ascii="宋体" w:hAnsi="宋体"/>
          <w:b/>
          <w:sz w:val="72"/>
          <w:szCs w:val="72"/>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二〇二一年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sz w:val="32"/>
          <w:szCs w:val="32"/>
        </w:rPr>
      </w:pPr>
      <w:r>
        <w:rPr>
          <w:rFonts w:hint="eastAsia"/>
          <w:sz w:val="32"/>
          <w:szCs w:val="32"/>
        </w:rPr>
        <w:t>一般公共预算财政拨款部门经济分类支出预算表</w:t>
      </w:r>
    </w:p>
    <w:p>
      <w:pPr>
        <w:pStyle w:val="8"/>
        <w:numPr>
          <w:ilvl w:val="0"/>
          <w:numId w:val="2"/>
        </w:numPr>
        <w:ind w:firstLineChars="0"/>
        <w:jc w:val="left"/>
        <w:rPr>
          <w:sz w:val="32"/>
          <w:szCs w:val="32"/>
        </w:rPr>
      </w:pPr>
      <w:r>
        <w:rPr>
          <w:rFonts w:hint="eastAsia"/>
          <w:sz w:val="32"/>
          <w:szCs w:val="32"/>
        </w:rPr>
        <w:t>一般公共预算财政拨款政府经济分类支出预算表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Pr>
        <w:tabs>
          <w:tab w:val="left" w:pos="2595"/>
        </w:tabs>
        <w:rPr>
          <w:rFonts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ascii="仿宋" w:hAnsi="仿宋" w:eastAsia="仿宋" w:cs="仿宋"/>
          <w:color w:val="000000"/>
          <w:sz w:val="32"/>
          <w:szCs w:val="32"/>
        </w:rPr>
      </w:pPr>
      <w:r>
        <w:rPr>
          <w:rFonts w:hint="eastAsia" w:ascii="仿宋" w:hAnsi="仿宋" w:eastAsia="仿宋"/>
          <w:sz w:val="32"/>
        </w:rPr>
        <w:t xml:space="preserve"> </w:t>
      </w:r>
      <w:r>
        <w:rPr>
          <w:rFonts w:hint="eastAsia" w:ascii="仿宋" w:hAnsi="仿宋" w:eastAsia="仿宋" w:cs="仿宋"/>
          <w:sz w:val="32"/>
          <w:szCs w:val="32"/>
        </w:rPr>
        <w:t xml:space="preserve"> </w:t>
      </w:r>
      <w:r>
        <w:rPr>
          <w:rFonts w:hint="eastAsia" w:ascii="仿宋" w:hAnsi="仿宋" w:eastAsia="仿宋" w:cs="仿宋"/>
          <w:color w:val="000000"/>
          <w:sz w:val="32"/>
          <w:szCs w:val="32"/>
        </w:rPr>
        <w:t>贯彻落实《中华人民共和国义务教育法》，执行国家教育教学标准，开展基础教育工作，对适龄儿童、少年实施素质教育；按照确定的教育教学内容和课程设置开展并完成面向全体学生，符合教育规律和学生身心发展特点的教育教学活动，促进学生德智体美劳等全面发展；培养学生形成良好的学习习惯，建立健全安全制度和应急机制，进行安全教育，消除安全隐患；维护学生和教职工的合法权益。</w:t>
      </w:r>
    </w:p>
    <w:p>
      <w:pPr>
        <w:rPr>
          <w:rFonts w:ascii="仿宋" w:hAnsi="仿宋" w:eastAsia="仿宋" w:cs="仿宋"/>
          <w:sz w:val="32"/>
          <w:szCs w:val="32"/>
        </w:rPr>
      </w:pPr>
    </w:p>
    <w:p>
      <w:pPr>
        <w:numPr>
          <w:ilvl w:val="0"/>
          <w:numId w:val="4"/>
        </w:numPr>
        <w:ind w:firstLine="640" w:firstLineChars="200"/>
        <w:rPr>
          <w:rFonts w:ascii="黑体" w:hAnsi="黑体" w:eastAsia="黑体"/>
          <w:sz w:val="32"/>
        </w:rPr>
      </w:pPr>
      <w:r>
        <w:rPr>
          <w:rFonts w:hint="eastAsia" w:ascii="黑体" w:hAnsi="黑体" w:eastAsia="黑体"/>
          <w:sz w:val="32"/>
        </w:rPr>
        <w:t>机构设置及部门决算单位构成</w:t>
      </w:r>
    </w:p>
    <w:p>
      <w:pPr>
        <w:tabs>
          <w:tab w:val="left" w:pos="690"/>
        </w:tabs>
        <w:jc w:val="center"/>
        <w:rPr>
          <w:rFonts w:ascii="仿宋" w:hAnsi="仿宋" w:eastAsia="仿宋"/>
          <w:sz w:val="32"/>
        </w:rPr>
      </w:pPr>
      <w:r>
        <w:rPr>
          <w:rFonts w:hint="eastAsia" w:ascii="仿宋" w:hAnsi="仿宋" w:eastAsia="仿宋"/>
          <w:sz w:val="32"/>
        </w:rPr>
        <w:t>根据上述职责，</w:t>
      </w:r>
      <w:r>
        <w:rPr>
          <w:rFonts w:hint="eastAsia" w:ascii="仿宋" w:hAnsi="仿宋" w:eastAsia="仿宋"/>
          <w:sz w:val="32"/>
          <w:szCs w:val="30"/>
        </w:rPr>
        <w:t>梨树县实验学校</w:t>
      </w:r>
      <w:r>
        <w:rPr>
          <w:rFonts w:hint="eastAsia" w:ascii="仿宋" w:hAnsi="仿宋" w:eastAsia="仿宋"/>
          <w:sz w:val="32"/>
        </w:rPr>
        <w:t>内设</w:t>
      </w:r>
      <w:r>
        <w:rPr>
          <w:rFonts w:hint="eastAsia" w:ascii="仿宋" w:hAnsi="仿宋" w:eastAsia="仿宋"/>
          <w:sz w:val="32"/>
          <w:szCs w:val="30"/>
        </w:rPr>
        <w:t>0</w:t>
      </w:r>
      <w:r>
        <w:rPr>
          <w:rFonts w:hint="eastAsia" w:ascii="仿宋" w:hAnsi="仿宋" w:eastAsia="仿宋"/>
          <w:sz w:val="32"/>
        </w:rPr>
        <w:t>个机构.</w:t>
      </w:r>
    </w:p>
    <w:p>
      <w:pPr>
        <w:tabs>
          <w:tab w:val="left" w:pos="690"/>
        </w:tabs>
        <w:jc w:val="center"/>
        <w:rPr>
          <w:rFonts w:ascii="仿宋" w:hAnsi="仿宋" w:eastAsia="仿宋"/>
          <w:sz w:val="32"/>
        </w:rPr>
      </w:pPr>
    </w:p>
    <w:p>
      <w:pPr>
        <w:tabs>
          <w:tab w:val="left" w:pos="690"/>
        </w:tabs>
        <w:jc w:val="center"/>
        <w:rPr>
          <w:rFonts w:ascii="仿宋" w:hAnsi="仿宋" w:eastAsia="仿宋"/>
          <w:sz w:val="32"/>
        </w:rPr>
      </w:pPr>
    </w:p>
    <w:p>
      <w:pPr>
        <w:tabs>
          <w:tab w:val="left" w:pos="690"/>
        </w:tabs>
        <w:jc w:val="center"/>
        <w:rPr>
          <w:rFonts w:ascii="仿宋" w:hAnsi="仿宋" w:eastAsia="仿宋"/>
          <w:sz w:val="32"/>
        </w:rPr>
      </w:pPr>
    </w:p>
    <w:p>
      <w:pPr>
        <w:tabs>
          <w:tab w:val="left" w:pos="690"/>
        </w:tabs>
        <w:jc w:val="center"/>
        <w:rPr>
          <w:rFonts w:ascii="仿宋" w:hAnsi="仿宋" w:eastAsia="仿宋"/>
          <w:sz w:val="32"/>
        </w:rPr>
      </w:pPr>
    </w:p>
    <w:p>
      <w:pPr>
        <w:tabs>
          <w:tab w:val="left" w:pos="690"/>
        </w:tabs>
        <w:jc w:val="center"/>
        <w:rPr>
          <w:rFonts w:ascii="仿宋" w:hAnsi="仿宋" w:eastAsia="仿宋"/>
          <w:sz w:val="32"/>
        </w:rPr>
      </w:pPr>
    </w:p>
    <w:p>
      <w:pPr>
        <w:tabs>
          <w:tab w:val="left" w:pos="690"/>
        </w:tabs>
        <w:jc w:val="center"/>
        <w:rPr>
          <w:rFonts w:ascii="仿宋" w:hAnsi="仿宋" w:eastAsia="仿宋"/>
          <w:sz w:val="32"/>
        </w:rPr>
      </w:pPr>
    </w:p>
    <w:p>
      <w:pPr>
        <w:tabs>
          <w:tab w:val="left" w:pos="690"/>
        </w:tabs>
        <w:jc w:val="center"/>
        <w:rPr>
          <w:rFonts w:ascii="仿宋" w:hAnsi="仿宋" w:eastAsia="仿宋"/>
          <w:sz w:val="32"/>
        </w:rPr>
      </w:pPr>
    </w:p>
    <w:p>
      <w:pPr>
        <w:tabs>
          <w:tab w:val="left" w:pos="690"/>
        </w:tabs>
        <w:jc w:val="center"/>
        <w:rPr>
          <w:rFonts w:ascii="仿宋" w:hAnsi="仿宋" w:eastAsia="仿宋"/>
          <w:sz w:val="32"/>
        </w:rPr>
      </w:pPr>
    </w:p>
    <w:p>
      <w:pPr>
        <w:tabs>
          <w:tab w:val="left" w:pos="690"/>
        </w:tabs>
        <w:jc w:val="center"/>
        <w:rPr>
          <w:rFonts w:ascii="仿宋" w:hAnsi="仿宋" w:eastAsia="仿宋"/>
          <w:sz w:val="32"/>
        </w:rPr>
      </w:pPr>
    </w:p>
    <w:p>
      <w:pPr>
        <w:tabs>
          <w:tab w:val="left" w:pos="690"/>
        </w:tabs>
        <w:jc w:val="center"/>
        <w:rPr>
          <w:rFonts w:ascii="仿宋" w:hAnsi="仿宋" w:eastAsia="仿宋"/>
          <w:sz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ind w:firstLine="648"/>
        <w:rPr>
          <w:rFonts w:ascii="宋体" w:hAnsi="宋体"/>
          <w:sz w:val="32"/>
          <w:szCs w:val="32"/>
        </w:rPr>
      </w:pPr>
      <w:r>
        <w:rPr>
          <w:rFonts w:hint="eastAsia" w:ascii="宋体" w:hAnsi="宋体"/>
          <w:sz w:val="32"/>
          <w:szCs w:val="32"/>
        </w:rPr>
        <w:t>详见附表</w:t>
      </w:r>
      <w:r>
        <w:rPr>
          <w:rFonts w:ascii="宋体" w:hAnsi="宋体"/>
          <w:sz w:val="32"/>
          <w:szCs w:val="32"/>
        </w:rPr>
        <w:t>1-9</w:t>
      </w:r>
    </w:p>
    <w:p>
      <w:pPr>
        <w:tabs>
          <w:tab w:val="left" w:pos="690"/>
        </w:tabs>
        <w:ind w:firstLine="648"/>
        <w:rPr>
          <w:rFonts w:ascii="宋体" w:hAnsi="宋体"/>
          <w:sz w:val="32"/>
          <w:szCs w:val="32"/>
        </w:rPr>
      </w:pPr>
    </w:p>
    <w:p>
      <w:pPr>
        <w:tabs>
          <w:tab w:val="left" w:pos="690"/>
        </w:tabs>
        <w:ind w:firstLine="648"/>
        <w:rPr>
          <w:rFonts w:ascii="宋体" w:hAnsi="宋体"/>
          <w:sz w:val="32"/>
          <w:szCs w:val="32"/>
        </w:rPr>
      </w:pPr>
    </w:p>
    <w:p>
      <w:pPr>
        <w:tabs>
          <w:tab w:val="left" w:pos="690"/>
        </w:tabs>
        <w:ind w:firstLine="648"/>
        <w:rPr>
          <w:rFonts w:ascii="宋体" w:hAnsi="宋体"/>
          <w:sz w:val="32"/>
          <w:szCs w:val="32"/>
        </w:rPr>
      </w:pPr>
    </w:p>
    <w:p>
      <w:pPr>
        <w:tabs>
          <w:tab w:val="left" w:pos="690"/>
        </w:tabs>
        <w:ind w:firstLine="648"/>
        <w:rPr>
          <w:rFonts w:ascii="宋体" w:hAnsi="宋体"/>
          <w:sz w:val="32"/>
          <w:szCs w:val="32"/>
        </w:rPr>
      </w:pPr>
    </w:p>
    <w:p>
      <w:pPr>
        <w:tabs>
          <w:tab w:val="left" w:pos="690"/>
        </w:tabs>
        <w:ind w:firstLine="648"/>
        <w:rPr>
          <w:rFonts w:ascii="宋体" w:hAnsi="宋体"/>
          <w:sz w:val="32"/>
          <w:szCs w:val="32"/>
        </w:rPr>
      </w:pPr>
    </w:p>
    <w:p>
      <w:pPr>
        <w:tabs>
          <w:tab w:val="left" w:pos="690"/>
        </w:tabs>
        <w:ind w:firstLine="648"/>
        <w:rPr>
          <w:rFonts w:ascii="宋体" w:hAnsi="宋体"/>
          <w:sz w:val="32"/>
          <w:szCs w:val="32"/>
        </w:rPr>
      </w:pPr>
    </w:p>
    <w:p>
      <w:pPr>
        <w:tabs>
          <w:tab w:val="left" w:pos="690"/>
        </w:tabs>
        <w:ind w:firstLine="648"/>
        <w:rPr>
          <w:rFonts w:ascii="宋体" w:hAnsi="宋体"/>
          <w:sz w:val="32"/>
          <w:szCs w:val="32"/>
        </w:rPr>
      </w:pPr>
    </w:p>
    <w:p>
      <w:pPr>
        <w:tabs>
          <w:tab w:val="left" w:pos="690"/>
        </w:tabs>
        <w:ind w:firstLine="648"/>
        <w:rPr>
          <w:rFonts w:ascii="宋体" w:hAnsi="宋体"/>
          <w:sz w:val="32"/>
          <w:szCs w:val="32"/>
        </w:rPr>
      </w:pPr>
    </w:p>
    <w:p>
      <w:pPr>
        <w:tabs>
          <w:tab w:val="left" w:pos="690"/>
        </w:tabs>
        <w:ind w:firstLine="648"/>
        <w:rPr>
          <w:rFonts w:ascii="宋体" w:hAnsi="宋体"/>
          <w:sz w:val="32"/>
          <w:szCs w:val="32"/>
        </w:rPr>
      </w:pPr>
    </w:p>
    <w:p>
      <w:pPr>
        <w:tabs>
          <w:tab w:val="left" w:pos="690"/>
        </w:tabs>
        <w:ind w:firstLine="648"/>
        <w:rPr>
          <w:rFonts w:ascii="宋体" w:hAnsi="宋体"/>
          <w:sz w:val="32"/>
          <w:szCs w:val="32"/>
        </w:rPr>
      </w:pPr>
    </w:p>
    <w:p>
      <w:pPr>
        <w:tabs>
          <w:tab w:val="left" w:pos="690"/>
        </w:tabs>
        <w:ind w:firstLine="648"/>
        <w:rPr>
          <w:rFonts w:ascii="宋体" w:hAnsi="宋体"/>
          <w:sz w:val="32"/>
          <w:szCs w:val="32"/>
        </w:rPr>
      </w:pPr>
    </w:p>
    <w:p>
      <w:pPr>
        <w:tabs>
          <w:tab w:val="left" w:pos="690"/>
        </w:tabs>
        <w:ind w:firstLine="648"/>
        <w:rPr>
          <w:rFonts w:ascii="宋体" w:hAnsi="宋体"/>
          <w:sz w:val="32"/>
          <w:szCs w:val="32"/>
        </w:rPr>
      </w:pPr>
    </w:p>
    <w:p>
      <w:pPr>
        <w:tabs>
          <w:tab w:val="left" w:pos="690"/>
        </w:tabs>
        <w:ind w:firstLine="648"/>
        <w:rPr>
          <w:rFonts w:ascii="宋体" w:hAnsi="宋体"/>
          <w:sz w:val="32"/>
          <w:szCs w:val="32"/>
        </w:rPr>
      </w:pPr>
    </w:p>
    <w:p>
      <w:pPr>
        <w:tabs>
          <w:tab w:val="left" w:pos="690"/>
        </w:tabs>
        <w:ind w:firstLine="648"/>
        <w:rPr>
          <w:rFonts w:ascii="宋体" w:hAnsi="宋体"/>
          <w:sz w:val="32"/>
          <w:szCs w:val="32"/>
        </w:rPr>
      </w:pPr>
    </w:p>
    <w:p>
      <w:pPr>
        <w:tabs>
          <w:tab w:val="left" w:pos="690"/>
        </w:tabs>
        <w:ind w:firstLine="648"/>
        <w:rPr>
          <w:rFonts w:ascii="宋体" w:hAnsi="宋体"/>
          <w:sz w:val="32"/>
          <w:szCs w:val="32"/>
        </w:rPr>
      </w:pPr>
    </w:p>
    <w:p>
      <w:pPr>
        <w:tabs>
          <w:tab w:val="left" w:pos="690"/>
        </w:tabs>
        <w:ind w:firstLine="648"/>
        <w:rPr>
          <w:rFonts w:ascii="宋体" w:hAnsi="宋体"/>
          <w:sz w:val="32"/>
          <w:szCs w:val="32"/>
        </w:rPr>
      </w:pPr>
    </w:p>
    <w:p>
      <w:pPr>
        <w:tabs>
          <w:tab w:val="left" w:pos="690"/>
        </w:tabs>
        <w:ind w:firstLine="648"/>
        <w:rPr>
          <w:rFonts w:ascii="宋体" w:hAnsi="宋体"/>
          <w:sz w:val="32"/>
          <w:szCs w:val="32"/>
        </w:rPr>
      </w:pPr>
    </w:p>
    <w:p>
      <w:pPr>
        <w:tabs>
          <w:tab w:val="left" w:pos="690"/>
        </w:tabs>
        <w:ind w:firstLine="648"/>
        <w:rPr>
          <w:rFonts w:ascii="宋体" w:hAnsi="宋体"/>
          <w:sz w:val="32"/>
          <w:szCs w:val="32"/>
        </w:rPr>
      </w:pPr>
    </w:p>
    <w:p>
      <w:pPr>
        <w:tabs>
          <w:tab w:val="left" w:pos="690"/>
        </w:tabs>
        <w:ind w:firstLine="648"/>
        <w:rPr>
          <w:rFonts w:ascii="宋体" w:hAnsi="宋体"/>
          <w:sz w:val="32"/>
          <w:szCs w:val="32"/>
        </w:rPr>
      </w:pPr>
    </w:p>
    <w:p>
      <w:pPr>
        <w:tabs>
          <w:tab w:val="left" w:pos="690"/>
        </w:tabs>
        <w:ind w:firstLine="648"/>
        <w:rPr>
          <w:rFonts w:ascii="宋体"/>
          <w:sz w:val="32"/>
          <w:szCs w:val="32"/>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一、2021年收支预算总体情况</w:t>
      </w:r>
    </w:p>
    <w:p>
      <w:pPr>
        <w:tabs>
          <w:tab w:val="left" w:pos="1200"/>
        </w:tabs>
        <w:ind w:firstLine="660"/>
        <w:jc w:val="left"/>
        <w:rPr>
          <w:rFonts w:ascii="宋体"/>
          <w:sz w:val="32"/>
          <w:szCs w:val="32"/>
        </w:rPr>
      </w:pPr>
      <w:r>
        <w:rPr>
          <w:rFonts w:hint="eastAsia" w:ascii="宋体"/>
          <w:sz w:val="32"/>
          <w:szCs w:val="32"/>
        </w:rPr>
        <w:t xml:space="preserve">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2021年收支总预算 </w:t>
      </w:r>
      <w:r>
        <w:rPr>
          <w:rFonts w:ascii="宋体"/>
          <w:sz w:val="32"/>
          <w:szCs w:val="32"/>
        </w:rPr>
        <w:t>1207.97</w:t>
      </w:r>
      <w:r>
        <w:rPr>
          <w:rFonts w:hint="eastAsia" w:ascii="宋体"/>
          <w:sz w:val="32"/>
          <w:szCs w:val="32"/>
        </w:rPr>
        <w:t>万元，比2020年预算减少670.56 万元，主要原因是生均经费在局里预算。</w:t>
      </w:r>
    </w:p>
    <w:p>
      <w:pPr>
        <w:tabs>
          <w:tab w:val="left" w:pos="1200"/>
          <w:tab w:val="right" w:pos="8306"/>
        </w:tabs>
        <w:ind w:firstLine="630"/>
        <w:jc w:val="left"/>
        <w:rPr>
          <w:rFonts w:ascii="宋体"/>
          <w:sz w:val="32"/>
          <w:szCs w:val="32"/>
        </w:rPr>
      </w:pPr>
      <w:r>
        <w:rPr>
          <w:rFonts w:hint="eastAsia" w:ascii="宋体"/>
          <w:sz w:val="32"/>
          <w:szCs w:val="32"/>
        </w:rPr>
        <w:t>二、2021年收入预算情况</w:t>
      </w:r>
    </w:p>
    <w:p>
      <w:pPr>
        <w:tabs>
          <w:tab w:val="left" w:pos="1200"/>
          <w:tab w:val="right" w:pos="8306"/>
        </w:tabs>
        <w:ind w:firstLine="630"/>
        <w:jc w:val="left"/>
        <w:rPr>
          <w:rFonts w:ascii="宋体"/>
          <w:sz w:val="32"/>
          <w:szCs w:val="32"/>
        </w:rPr>
      </w:pPr>
      <w:r>
        <w:rPr>
          <w:rFonts w:hint="eastAsia" w:ascii="宋体"/>
          <w:sz w:val="32"/>
          <w:szCs w:val="32"/>
        </w:rPr>
        <w:t xml:space="preserve">2021年收入预算 </w:t>
      </w:r>
      <w:r>
        <w:rPr>
          <w:rFonts w:ascii="宋体"/>
          <w:sz w:val="32"/>
          <w:szCs w:val="32"/>
        </w:rPr>
        <w:t>1207.97</w:t>
      </w:r>
      <w:r>
        <w:rPr>
          <w:rFonts w:hint="eastAsia" w:ascii="宋体"/>
          <w:sz w:val="32"/>
          <w:szCs w:val="32"/>
        </w:rPr>
        <w:t xml:space="preserve"> 万元，其中：本年收</w:t>
      </w:r>
      <w:r>
        <w:rPr>
          <w:rFonts w:ascii="宋体"/>
          <w:sz w:val="32"/>
          <w:szCs w:val="32"/>
        </w:rPr>
        <w:t>1207.97</w:t>
      </w:r>
      <w:r>
        <w:rPr>
          <w:rFonts w:hint="eastAsia" w:ascii="宋体"/>
          <w:sz w:val="32"/>
          <w:szCs w:val="32"/>
        </w:rPr>
        <w:t xml:space="preserve">    万元，占 </w:t>
      </w:r>
      <w:r>
        <w:rPr>
          <w:rFonts w:ascii="宋体"/>
          <w:sz w:val="32"/>
          <w:szCs w:val="32"/>
        </w:rPr>
        <w:t>100</w:t>
      </w:r>
      <w:r>
        <w:rPr>
          <w:rFonts w:hint="eastAsia" w:ascii="宋体"/>
          <w:sz w:val="32"/>
          <w:szCs w:val="32"/>
        </w:rPr>
        <w:t xml:space="preserve"> %。本年收入中，一般公共预算拨款收入</w:t>
      </w:r>
      <w:r>
        <w:rPr>
          <w:rFonts w:ascii="宋体"/>
          <w:sz w:val="32"/>
          <w:szCs w:val="32"/>
        </w:rPr>
        <w:t>1207.97</w:t>
      </w:r>
      <w:r>
        <w:rPr>
          <w:rFonts w:hint="eastAsia" w:ascii="宋体"/>
          <w:sz w:val="32"/>
          <w:szCs w:val="32"/>
        </w:rPr>
        <w:t xml:space="preserve">     万元，占 </w:t>
      </w:r>
      <w:r>
        <w:rPr>
          <w:rFonts w:ascii="宋体"/>
          <w:sz w:val="32"/>
          <w:szCs w:val="32"/>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三、2021年支出预算情况</w:t>
      </w:r>
    </w:p>
    <w:p>
      <w:pPr>
        <w:tabs>
          <w:tab w:val="left" w:pos="1200"/>
          <w:tab w:val="right" w:pos="8306"/>
        </w:tabs>
        <w:ind w:firstLine="630"/>
        <w:jc w:val="left"/>
        <w:rPr>
          <w:rFonts w:ascii="宋体"/>
          <w:sz w:val="32"/>
          <w:szCs w:val="32"/>
        </w:rPr>
      </w:pPr>
      <w:r>
        <w:rPr>
          <w:rFonts w:hint="eastAsia" w:ascii="宋体"/>
          <w:sz w:val="32"/>
          <w:szCs w:val="32"/>
        </w:rPr>
        <w:t>2021年支出预算</w:t>
      </w:r>
      <w:r>
        <w:rPr>
          <w:rFonts w:ascii="宋体"/>
          <w:sz w:val="32"/>
          <w:szCs w:val="32"/>
        </w:rPr>
        <w:t>1207.97</w:t>
      </w:r>
      <w:r>
        <w:rPr>
          <w:rFonts w:hint="eastAsia" w:ascii="宋体"/>
          <w:sz w:val="32"/>
          <w:szCs w:val="32"/>
        </w:rPr>
        <w:t>万元，其中：基本支出</w:t>
      </w:r>
      <w:r>
        <w:rPr>
          <w:rFonts w:ascii="宋体"/>
          <w:sz w:val="32"/>
          <w:szCs w:val="32"/>
        </w:rPr>
        <w:t>1207.97</w:t>
      </w:r>
      <w:r>
        <w:rPr>
          <w:rFonts w:hint="eastAsia" w:ascii="宋体"/>
          <w:sz w:val="32"/>
          <w:szCs w:val="32"/>
        </w:rPr>
        <w:t xml:space="preserve">   万元，占100 %；项目支出  </w:t>
      </w:r>
      <w:r>
        <w:rPr>
          <w:rFonts w:ascii="宋体"/>
          <w:sz w:val="32"/>
          <w:szCs w:val="32"/>
        </w:rPr>
        <w:t>0</w:t>
      </w:r>
      <w:r>
        <w:rPr>
          <w:rFonts w:hint="eastAsia" w:ascii="宋体"/>
          <w:sz w:val="32"/>
          <w:szCs w:val="32"/>
        </w:rPr>
        <w:t xml:space="preserve">  万元，占  </w:t>
      </w:r>
      <w:r>
        <w:rPr>
          <w:rFonts w:ascii="宋体"/>
          <w:sz w:val="32"/>
          <w:szCs w:val="32"/>
        </w:rPr>
        <w:t>0</w:t>
      </w:r>
      <w:r>
        <w:rPr>
          <w:rFonts w:hint="eastAsia" w:ascii="宋体"/>
          <w:sz w:val="32"/>
          <w:szCs w:val="32"/>
        </w:rPr>
        <w:t xml:space="preserve">  %。基本支出中，人员经费 </w:t>
      </w:r>
      <w:r>
        <w:rPr>
          <w:rFonts w:ascii="宋体"/>
          <w:sz w:val="32"/>
          <w:szCs w:val="32"/>
        </w:rPr>
        <w:t>1207.97</w:t>
      </w:r>
      <w:r>
        <w:rPr>
          <w:rFonts w:hint="eastAsia" w:ascii="宋体"/>
          <w:sz w:val="32"/>
          <w:szCs w:val="32"/>
        </w:rPr>
        <w:t xml:space="preserve"> 万元，占100 %；公用经费 </w:t>
      </w:r>
      <w:r>
        <w:rPr>
          <w:rFonts w:ascii="宋体"/>
          <w:sz w:val="32"/>
          <w:szCs w:val="32"/>
        </w:rPr>
        <w:t>0</w:t>
      </w:r>
      <w:r>
        <w:rPr>
          <w:rFonts w:hint="eastAsia" w:ascii="宋体"/>
          <w:sz w:val="32"/>
          <w:szCs w:val="32"/>
        </w:rPr>
        <w:t xml:space="preserve">   万元，占  </w:t>
      </w:r>
      <w:r>
        <w:rPr>
          <w:rFonts w:ascii="宋体"/>
          <w:sz w:val="32"/>
          <w:szCs w:val="32"/>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四、2021年财政拨款收支预算情况</w:t>
      </w:r>
    </w:p>
    <w:p>
      <w:pPr>
        <w:tabs>
          <w:tab w:val="left" w:pos="1200"/>
          <w:tab w:val="right" w:pos="8306"/>
        </w:tabs>
        <w:ind w:firstLine="630"/>
        <w:jc w:val="left"/>
        <w:rPr>
          <w:rFonts w:ascii="宋体"/>
          <w:sz w:val="32"/>
          <w:szCs w:val="32"/>
        </w:rPr>
      </w:pPr>
      <w:r>
        <w:rPr>
          <w:rFonts w:hint="eastAsia" w:ascii="宋体"/>
          <w:sz w:val="32"/>
          <w:szCs w:val="32"/>
        </w:rPr>
        <w:t>2021年财政拨款收支总预算</w:t>
      </w:r>
      <w:r>
        <w:rPr>
          <w:rFonts w:ascii="宋体"/>
          <w:sz w:val="32"/>
          <w:szCs w:val="32"/>
        </w:rPr>
        <w:t>1207.97</w:t>
      </w:r>
      <w:r>
        <w:rPr>
          <w:rFonts w:hint="eastAsia" w:ascii="宋体"/>
          <w:sz w:val="32"/>
          <w:szCs w:val="32"/>
        </w:rPr>
        <w:t xml:space="preserve"> 万元，其中：一般公共预算拨款 </w:t>
      </w:r>
      <w:r>
        <w:rPr>
          <w:rFonts w:ascii="宋体"/>
          <w:sz w:val="32"/>
          <w:szCs w:val="32"/>
        </w:rPr>
        <w:t>1207.97</w:t>
      </w:r>
      <w:r>
        <w:rPr>
          <w:rFonts w:hint="eastAsia" w:ascii="宋体"/>
          <w:sz w:val="32"/>
          <w:szCs w:val="32"/>
        </w:rPr>
        <w:t>万元。支出包括：教育支出</w:t>
      </w:r>
      <w:r>
        <w:rPr>
          <w:rFonts w:ascii="宋体"/>
          <w:sz w:val="32"/>
          <w:szCs w:val="32"/>
        </w:rPr>
        <w:t>951.40</w:t>
      </w:r>
      <w:r>
        <w:rPr>
          <w:rFonts w:hint="eastAsia" w:ascii="宋体"/>
          <w:sz w:val="32"/>
          <w:szCs w:val="32"/>
        </w:rPr>
        <w:t>万元，社会保障和就业支出</w:t>
      </w:r>
      <w:r>
        <w:rPr>
          <w:rFonts w:ascii="宋体"/>
          <w:sz w:val="32"/>
          <w:szCs w:val="32"/>
        </w:rPr>
        <w:t>132.89</w:t>
      </w:r>
      <w:r>
        <w:rPr>
          <w:rFonts w:hint="eastAsia" w:ascii="宋体"/>
          <w:sz w:val="32"/>
          <w:szCs w:val="32"/>
        </w:rPr>
        <w:t>万元，卫生健康支出</w:t>
      </w:r>
      <w:r>
        <w:rPr>
          <w:rFonts w:ascii="宋体"/>
          <w:sz w:val="32"/>
          <w:szCs w:val="32"/>
        </w:rPr>
        <w:t>54.22</w:t>
      </w:r>
      <w:r>
        <w:rPr>
          <w:rFonts w:hint="eastAsia" w:ascii="宋体"/>
          <w:sz w:val="32"/>
          <w:szCs w:val="32"/>
        </w:rPr>
        <w:t>万元，住房保障支出</w:t>
      </w:r>
      <w:r>
        <w:rPr>
          <w:rFonts w:ascii="宋体"/>
          <w:sz w:val="32"/>
          <w:szCs w:val="32"/>
        </w:rPr>
        <w:t>69.46</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五、2021年一般公共预算财政拨款情况</w:t>
      </w:r>
    </w:p>
    <w:p>
      <w:pPr>
        <w:tabs>
          <w:tab w:val="left" w:pos="1200"/>
          <w:tab w:val="right" w:pos="8306"/>
        </w:tabs>
        <w:ind w:firstLine="630"/>
        <w:jc w:val="left"/>
        <w:rPr>
          <w:rFonts w:ascii="宋体"/>
          <w:sz w:val="32"/>
          <w:szCs w:val="32"/>
        </w:rPr>
      </w:pPr>
      <w:r>
        <w:rPr>
          <w:rFonts w:hint="eastAsia" w:ascii="宋体"/>
          <w:sz w:val="32"/>
          <w:szCs w:val="32"/>
        </w:rPr>
        <w:t>2021年一般公共预算当年拨款</w:t>
      </w:r>
      <w:r>
        <w:rPr>
          <w:rFonts w:ascii="宋体"/>
          <w:sz w:val="32"/>
          <w:szCs w:val="32"/>
        </w:rPr>
        <w:t>1207.97</w:t>
      </w:r>
      <w:r>
        <w:rPr>
          <w:rFonts w:hint="eastAsia" w:ascii="宋体"/>
          <w:sz w:val="32"/>
          <w:szCs w:val="32"/>
        </w:rPr>
        <w:t xml:space="preserve"> 万元，其中：基本支出</w:t>
      </w:r>
      <w:r>
        <w:rPr>
          <w:rFonts w:ascii="宋体"/>
          <w:sz w:val="32"/>
          <w:szCs w:val="32"/>
        </w:rPr>
        <w:t>1207.97</w:t>
      </w:r>
      <w:r>
        <w:rPr>
          <w:rFonts w:hint="eastAsia" w:ascii="宋体"/>
          <w:sz w:val="32"/>
          <w:szCs w:val="32"/>
        </w:rPr>
        <w:t xml:space="preserve">万元，占 </w:t>
      </w:r>
      <w:r>
        <w:rPr>
          <w:rFonts w:ascii="宋体"/>
          <w:sz w:val="32"/>
          <w:szCs w:val="32"/>
        </w:rPr>
        <w:t>100</w:t>
      </w:r>
      <w:r>
        <w:rPr>
          <w:rFonts w:hint="eastAsia" w:ascii="宋体"/>
          <w:sz w:val="32"/>
          <w:szCs w:val="32"/>
        </w:rPr>
        <w:t xml:space="preserve">  %；项目支出  </w:t>
      </w:r>
      <w:r>
        <w:rPr>
          <w:rFonts w:ascii="宋体"/>
          <w:sz w:val="32"/>
          <w:szCs w:val="32"/>
        </w:rPr>
        <w:t>0</w:t>
      </w:r>
      <w:r>
        <w:rPr>
          <w:rFonts w:hint="eastAsia" w:ascii="宋体"/>
          <w:sz w:val="32"/>
          <w:szCs w:val="32"/>
        </w:rPr>
        <w:t xml:space="preserve"> 万元，占 </w:t>
      </w:r>
      <w:r>
        <w:rPr>
          <w:rFonts w:ascii="宋体"/>
          <w:sz w:val="32"/>
          <w:szCs w:val="32"/>
        </w:rPr>
        <w:t>0</w:t>
      </w:r>
      <w:r>
        <w:rPr>
          <w:rFonts w:hint="eastAsia" w:ascii="宋体"/>
          <w:sz w:val="32"/>
          <w:szCs w:val="32"/>
        </w:rPr>
        <w:t xml:space="preserve">  %。基本支出中，人员经费 </w:t>
      </w:r>
      <w:r>
        <w:rPr>
          <w:rFonts w:ascii="宋体"/>
          <w:sz w:val="32"/>
          <w:szCs w:val="32"/>
        </w:rPr>
        <w:t>1207.97</w:t>
      </w:r>
      <w:r>
        <w:rPr>
          <w:rFonts w:hint="eastAsia" w:ascii="宋体"/>
          <w:sz w:val="32"/>
          <w:szCs w:val="32"/>
        </w:rPr>
        <w:t xml:space="preserve"> 万元，占 </w:t>
      </w:r>
      <w:r>
        <w:rPr>
          <w:rFonts w:ascii="宋体"/>
          <w:sz w:val="32"/>
          <w:szCs w:val="32"/>
        </w:rPr>
        <w:t>100</w:t>
      </w:r>
      <w:r>
        <w:rPr>
          <w:rFonts w:hint="eastAsia" w:ascii="宋体"/>
          <w:sz w:val="32"/>
          <w:szCs w:val="32"/>
        </w:rPr>
        <w:t xml:space="preserve">  %；公用经费 </w:t>
      </w:r>
      <w:r>
        <w:rPr>
          <w:rFonts w:ascii="宋体"/>
          <w:sz w:val="32"/>
          <w:szCs w:val="32"/>
        </w:rPr>
        <w:t>0</w:t>
      </w:r>
      <w:r>
        <w:rPr>
          <w:rFonts w:hint="eastAsia" w:ascii="宋体"/>
          <w:sz w:val="32"/>
          <w:szCs w:val="32"/>
        </w:rPr>
        <w:t xml:space="preserve"> 万元，占 </w:t>
      </w:r>
      <w:r>
        <w:rPr>
          <w:rFonts w:ascii="宋体"/>
          <w:sz w:val="32"/>
          <w:szCs w:val="32"/>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六、2021年一般公共预算基本支出情况</w:t>
      </w:r>
    </w:p>
    <w:p>
      <w:pPr>
        <w:tabs>
          <w:tab w:val="left" w:pos="1200"/>
          <w:tab w:val="right" w:pos="8306"/>
        </w:tabs>
        <w:ind w:firstLine="630"/>
        <w:jc w:val="left"/>
        <w:rPr>
          <w:rFonts w:ascii="宋体"/>
          <w:sz w:val="32"/>
          <w:szCs w:val="32"/>
        </w:rPr>
      </w:pPr>
      <w:r>
        <w:rPr>
          <w:rFonts w:hint="eastAsia" w:ascii="宋体"/>
          <w:sz w:val="32"/>
          <w:szCs w:val="32"/>
        </w:rPr>
        <w:t>2021年一般公共预算基本支出</w:t>
      </w:r>
      <w:r>
        <w:rPr>
          <w:rFonts w:ascii="宋体"/>
          <w:sz w:val="32"/>
          <w:szCs w:val="32"/>
        </w:rPr>
        <w:t>1207.97</w:t>
      </w:r>
      <w:r>
        <w:rPr>
          <w:rFonts w:hint="eastAsia" w:ascii="宋体"/>
          <w:sz w:val="32"/>
          <w:szCs w:val="32"/>
        </w:rPr>
        <w:t xml:space="preserve"> 万元，其中：人员经费</w:t>
      </w:r>
      <w:r>
        <w:rPr>
          <w:rFonts w:ascii="宋体"/>
          <w:sz w:val="32"/>
          <w:szCs w:val="32"/>
        </w:rPr>
        <w:t>1207.97</w:t>
      </w:r>
      <w:r>
        <w:rPr>
          <w:rFonts w:hint="eastAsia" w:ascii="宋体"/>
          <w:sz w:val="32"/>
          <w:szCs w:val="32"/>
        </w:rPr>
        <w:t xml:space="preserve"> 万元，主要包括：基本工资、津贴补贴、奖金、绩效工资、机关事业单位基本养老保险缴费、职工基本医疗保险缴费、公务员医疗补助缴费、其他社会保障缴费、住房公积金、其他对个人和家庭的补助支出。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ascii="宋体"/>
          <w:sz w:val="32"/>
          <w:szCs w:val="32"/>
        </w:rPr>
        <w:t>0</w:t>
      </w:r>
      <w:r>
        <w:rPr>
          <w:rFonts w:hint="eastAsia" w:ascii="宋体"/>
          <w:sz w:val="32"/>
          <w:szCs w:val="32"/>
        </w:rPr>
        <w:t xml:space="preserve"> 万元。</w:t>
      </w:r>
    </w:p>
    <w:p>
      <w:pPr>
        <w:tabs>
          <w:tab w:val="left" w:pos="1200"/>
          <w:tab w:val="right" w:pos="8306"/>
        </w:tabs>
        <w:ind w:firstLine="630"/>
        <w:jc w:val="left"/>
        <w:rPr>
          <w:rFonts w:ascii="宋体"/>
          <w:sz w:val="32"/>
          <w:szCs w:val="32"/>
        </w:rPr>
      </w:pPr>
      <w:r>
        <w:rPr>
          <w:rFonts w:hint="eastAsia" w:ascii="宋体"/>
          <w:sz w:val="32"/>
          <w:szCs w:val="32"/>
        </w:rPr>
        <w:t>七、2021年一般公共预算“三公”经费拨款情况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rPr>
        <w:t>2021年“三公”经费预算数为0 万元，比2020年预算数减少 0万元。其中：</w:t>
      </w:r>
    </w:p>
    <w:p>
      <w:pPr>
        <w:tabs>
          <w:tab w:val="left" w:pos="1200"/>
          <w:tab w:val="right" w:pos="8306"/>
        </w:tabs>
        <w:ind w:firstLine="630"/>
        <w:jc w:val="left"/>
        <w:rPr>
          <w:rFonts w:ascii="宋体"/>
          <w:sz w:val="32"/>
          <w:szCs w:val="32"/>
        </w:rPr>
      </w:pPr>
      <w:r>
        <w:rPr>
          <w:rFonts w:hint="eastAsia" w:ascii="宋体"/>
          <w:sz w:val="32"/>
          <w:szCs w:val="32"/>
        </w:rPr>
        <w:t>1、因公出国（境）费  0 万元，与2020年数持平。</w:t>
      </w:r>
    </w:p>
    <w:p>
      <w:pPr>
        <w:tabs>
          <w:tab w:val="left" w:pos="1200"/>
          <w:tab w:val="right" w:pos="8306"/>
        </w:tabs>
        <w:ind w:firstLine="630"/>
        <w:jc w:val="left"/>
        <w:rPr>
          <w:rFonts w:ascii="宋体"/>
          <w:sz w:val="32"/>
          <w:szCs w:val="32"/>
        </w:rPr>
      </w:pPr>
      <w:r>
        <w:rPr>
          <w:rFonts w:hint="eastAsia" w:ascii="宋体"/>
          <w:sz w:val="32"/>
          <w:szCs w:val="32"/>
        </w:rPr>
        <w:t>2、公务接待费 0 万元，与2020年数持平。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3、公务用车购置及运行费0 万元，与2020年数持平。八、2021年政府性基金预算支出情况</w:t>
      </w:r>
    </w:p>
    <w:p>
      <w:pPr>
        <w:tabs>
          <w:tab w:val="left" w:pos="1200"/>
          <w:tab w:val="right" w:pos="8306"/>
        </w:tabs>
        <w:ind w:firstLine="630"/>
        <w:jc w:val="left"/>
        <w:rPr>
          <w:rFonts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rPr>
        <w:t xml:space="preserve">2021年部门本级共 </w:t>
      </w:r>
      <w:r>
        <w:rPr>
          <w:rFonts w:ascii="宋体"/>
          <w:sz w:val="32"/>
          <w:szCs w:val="32"/>
        </w:rPr>
        <w:t>0</w:t>
      </w:r>
      <w:r>
        <w:rPr>
          <w:rFonts w:hint="eastAsia" w:ascii="宋体"/>
          <w:sz w:val="32"/>
          <w:szCs w:val="32"/>
        </w:rPr>
        <w:t xml:space="preserve"> 家行政单位，机关运行经费财政拨款预算   </w:t>
      </w:r>
      <w:r>
        <w:rPr>
          <w:rFonts w:ascii="宋体"/>
          <w:sz w:val="32"/>
          <w:szCs w:val="32"/>
        </w:rPr>
        <w:t>0</w:t>
      </w:r>
      <w:r>
        <w:rPr>
          <w:rFonts w:hint="eastAsia" w:ascii="宋体"/>
          <w:sz w:val="32"/>
          <w:szCs w:val="32"/>
        </w:rPr>
        <w:t xml:space="preserve">  万元。</w:t>
      </w:r>
    </w:p>
    <w:p>
      <w:pPr>
        <w:ind w:firstLine="480" w:firstLineChars="150"/>
        <w:rPr>
          <w:rFonts w:ascii="宋体"/>
          <w:sz w:val="32"/>
          <w:szCs w:val="32"/>
        </w:rPr>
      </w:pPr>
      <w:r>
        <w:rPr>
          <w:rFonts w:hint="eastAsia" w:ascii="宋体"/>
          <w:sz w:val="32"/>
          <w:szCs w:val="32"/>
        </w:rPr>
        <w:t>（二）政府采购情况</w:t>
      </w:r>
    </w:p>
    <w:p>
      <w:pPr>
        <w:ind w:firstLine="645"/>
        <w:rPr>
          <w:rFonts w:ascii="宋体"/>
          <w:sz w:val="32"/>
          <w:szCs w:val="32"/>
        </w:rPr>
      </w:pPr>
      <w:r>
        <w:rPr>
          <w:rFonts w:hint="eastAsia" w:ascii="宋体"/>
          <w:sz w:val="32"/>
          <w:szCs w:val="32"/>
        </w:rPr>
        <w:t xml:space="preserve">2021年政府采购预算总额 </w:t>
      </w:r>
      <w:r>
        <w:rPr>
          <w:rFonts w:ascii="宋体"/>
          <w:sz w:val="32"/>
          <w:szCs w:val="32"/>
        </w:rPr>
        <w:t>0</w:t>
      </w:r>
      <w:r>
        <w:rPr>
          <w:rFonts w:hint="eastAsia" w:ascii="宋体"/>
          <w:sz w:val="32"/>
          <w:szCs w:val="32"/>
        </w:rPr>
        <w:t xml:space="preserve">  万元，其中：政府采购货物预算 </w:t>
      </w:r>
      <w:r>
        <w:rPr>
          <w:rFonts w:ascii="宋体"/>
          <w:sz w:val="32"/>
          <w:szCs w:val="32"/>
        </w:rPr>
        <w:t>0</w:t>
      </w:r>
      <w:r>
        <w:rPr>
          <w:rFonts w:hint="eastAsia" w:ascii="宋体"/>
          <w:sz w:val="32"/>
          <w:szCs w:val="32"/>
        </w:rPr>
        <w:t xml:space="preserve">  万元，政府采购工作预算 </w:t>
      </w:r>
      <w:r>
        <w:rPr>
          <w:rFonts w:ascii="宋体"/>
          <w:sz w:val="32"/>
          <w:szCs w:val="32"/>
        </w:rPr>
        <w:t>0</w:t>
      </w:r>
      <w:r>
        <w:rPr>
          <w:rFonts w:hint="eastAsia" w:ascii="宋体"/>
          <w:sz w:val="32"/>
          <w:szCs w:val="32"/>
        </w:rPr>
        <w:t xml:space="preserve"> 万元，政府采购服务预算  </w:t>
      </w:r>
      <w:r>
        <w:rPr>
          <w:rFonts w:ascii="宋体"/>
          <w:sz w:val="32"/>
          <w:szCs w:val="32"/>
        </w:rPr>
        <w:t>0</w:t>
      </w:r>
      <w:r>
        <w:rPr>
          <w:rFonts w:hint="eastAsia" w:ascii="宋体"/>
          <w:sz w:val="32"/>
          <w:szCs w:val="32"/>
        </w:rPr>
        <w:t xml:space="preserve"> 万元。</w:t>
      </w:r>
    </w:p>
    <w:p>
      <w:pPr>
        <w:rPr>
          <w:rFonts w:ascii="宋体"/>
          <w:sz w:val="32"/>
          <w:szCs w:val="32"/>
        </w:rPr>
      </w:pPr>
      <w:r>
        <w:rPr>
          <w:rFonts w:hint="eastAsia" w:ascii="宋体"/>
          <w:sz w:val="32"/>
          <w:szCs w:val="32"/>
        </w:rPr>
        <w:t xml:space="preserve">   （三）国有资产占有使用情况</w:t>
      </w:r>
    </w:p>
    <w:p>
      <w:pPr>
        <w:ind w:firstLine="480" w:firstLineChars="150"/>
        <w:rPr>
          <w:rFonts w:ascii="宋体"/>
          <w:sz w:val="32"/>
          <w:szCs w:val="32"/>
        </w:rPr>
      </w:pPr>
      <w:r>
        <w:rPr>
          <w:rFonts w:hint="eastAsia" w:ascii="宋体"/>
          <w:sz w:val="32"/>
          <w:szCs w:val="32"/>
        </w:rPr>
        <w:t xml:space="preserve">截止至2020年12月31日，部门本级和所属各预算单位共有车辆   </w:t>
      </w:r>
      <w:r>
        <w:rPr>
          <w:rFonts w:ascii="宋体"/>
          <w:sz w:val="32"/>
          <w:szCs w:val="32"/>
        </w:rPr>
        <w:t>0</w:t>
      </w:r>
      <w:r>
        <w:rPr>
          <w:rFonts w:hint="eastAsia" w:ascii="宋体"/>
          <w:sz w:val="32"/>
          <w:szCs w:val="32"/>
        </w:rPr>
        <w:t xml:space="preserve"> 辆，其中，领导干部用车  </w:t>
      </w:r>
      <w:r>
        <w:rPr>
          <w:rFonts w:ascii="宋体"/>
          <w:sz w:val="32"/>
          <w:szCs w:val="32"/>
        </w:rPr>
        <w:t>0</w:t>
      </w:r>
      <w:r>
        <w:rPr>
          <w:rFonts w:hint="eastAsia" w:ascii="宋体"/>
          <w:sz w:val="32"/>
          <w:szCs w:val="32"/>
        </w:rPr>
        <w:t xml:space="preserve">辆、一般公务用车 </w:t>
      </w:r>
      <w:r>
        <w:rPr>
          <w:rFonts w:ascii="宋体"/>
          <w:sz w:val="32"/>
          <w:szCs w:val="32"/>
        </w:rPr>
        <w:t>0</w:t>
      </w:r>
      <w:r>
        <w:rPr>
          <w:rFonts w:hint="eastAsia" w:ascii="宋体"/>
          <w:sz w:val="32"/>
          <w:szCs w:val="32"/>
        </w:rPr>
        <w:t xml:space="preserve"> 辆、一般执法执勤用车 </w:t>
      </w:r>
      <w:r>
        <w:rPr>
          <w:rFonts w:ascii="宋体"/>
          <w:sz w:val="32"/>
          <w:szCs w:val="32"/>
        </w:rPr>
        <w:t>0</w:t>
      </w:r>
      <w:r>
        <w:rPr>
          <w:rFonts w:hint="eastAsia" w:ascii="宋体"/>
          <w:sz w:val="32"/>
          <w:szCs w:val="32"/>
        </w:rPr>
        <w:t xml:space="preserve">  辆、特种专业技术用车   辆、其他用车 </w:t>
      </w:r>
      <w:r>
        <w:rPr>
          <w:rFonts w:ascii="宋体"/>
          <w:sz w:val="32"/>
          <w:szCs w:val="32"/>
        </w:rPr>
        <w:t>0</w:t>
      </w:r>
      <w:r>
        <w:rPr>
          <w:rFonts w:hint="eastAsia" w:ascii="宋体"/>
          <w:sz w:val="32"/>
          <w:szCs w:val="32"/>
        </w:rPr>
        <w:t xml:space="preserve"> 辆。单位价值50万元以上通用设备 </w:t>
      </w:r>
      <w:r>
        <w:rPr>
          <w:rFonts w:ascii="宋体"/>
          <w:sz w:val="32"/>
          <w:szCs w:val="32"/>
        </w:rPr>
        <w:t>0</w:t>
      </w:r>
      <w:r>
        <w:rPr>
          <w:rFonts w:hint="eastAsia" w:ascii="宋体"/>
          <w:sz w:val="32"/>
          <w:szCs w:val="32"/>
        </w:rPr>
        <w:t xml:space="preserve">  台（套），单位价值100万元以上专用设备  </w:t>
      </w:r>
      <w:r>
        <w:rPr>
          <w:rFonts w:ascii="宋体"/>
          <w:sz w:val="32"/>
          <w:szCs w:val="32"/>
        </w:rPr>
        <w:t>0</w:t>
      </w:r>
      <w:r>
        <w:rPr>
          <w:rFonts w:hint="eastAsia" w:ascii="宋体"/>
          <w:sz w:val="32"/>
          <w:szCs w:val="32"/>
        </w:rPr>
        <w:t xml:space="preserve"> 台（套）。</w:t>
      </w:r>
    </w:p>
    <w:p>
      <w:pPr>
        <w:ind w:firstLine="480" w:firstLineChars="150"/>
        <w:rPr>
          <w:rFonts w:ascii="宋体"/>
          <w:sz w:val="32"/>
          <w:szCs w:val="32"/>
        </w:rPr>
      </w:pPr>
      <w:r>
        <w:rPr>
          <w:rFonts w:hint="eastAsia" w:ascii="宋体"/>
          <w:sz w:val="32"/>
          <w:szCs w:val="32"/>
        </w:rPr>
        <w:t>（四）项目支出绩效目标情况说明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按照全面实施预算绩效管理的要求，结合本部门职能和重点工作，2021年确定 0  个项目支出的绩效目标和指标，涉及金额  0 万元。</w:t>
      </w:r>
    </w:p>
    <w:p>
      <w:pPr>
        <w:tabs>
          <w:tab w:val="left" w:pos="710"/>
        </w:tabs>
        <w:ind w:firstLine="803" w:firstLineChars="250"/>
        <w:jc w:val="center"/>
        <w:rPr>
          <w:rFonts w:ascii="宋体"/>
          <w:b/>
          <w:bCs/>
          <w:sz w:val="32"/>
          <w:szCs w:val="32"/>
        </w:rPr>
      </w:pPr>
    </w:p>
    <w:p>
      <w:pPr>
        <w:tabs>
          <w:tab w:val="left" w:pos="710"/>
        </w:tabs>
        <w:ind w:firstLine="803" w:firstLineChars="250"/>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lang w:val="en-US"/>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981A2F5"/>
    <w:multiLevelType w:val="singleLevel"/>
    <w:tmpl w:val="5981A2F5"/>
    <w:lvl w:ilvl="0" w:tentative="0">
      <w:start w:val="2"/>
      <w:numFmt w:val="chineseCounting"/>
      <w:suff w:val="nothing"/>
      <w:lvlText w:val="%1、"/>
      <w:lvlJc w:val="left"/>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WZkYTc5ODJmYmQ1ZGU1YTE1OWIwYWE3NzhkNzQwYmYifQ=="/>
  </w:docVars>
  <w:rsids>
    <w:rsidRoot w:val="00C715D7"/>
    <w:rsid w:val="001B3D68"/>
    <w:rsid w:val="004B125C"/>
    <w:rsid w:val="00982B2B"/>
    <w:rsid w:val="00A51339"/>
    <w:rsid w:val="00A77789"/>
    <w:rsid w:val="00A917A7"/>
    <w:rsid w:val="00B2768E"/>
    <w:rsid w:val="00B54A7D"/>
    <w:rsid w:val="00BD5DEF"/>
    <w:rsid w:val="00C715D7"/>
    <w:rsid w:val="00E3565D"/>
    <w:rsid w:val="00E53BD7"/>
    <w:rsid w:val="00EE0070"/>
    <w:rsid w:val="6DE615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列出段落1"/>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w:link w:val="5"/>
    <w:uiPriority w:val="99"/>
    <w:rPr>
      <w:rFonts w:cs="Times New Roman"/>
      <w:sz w:val="18"/>
      <w:szCs w:val="18"/>
    </w:rPr>
  </w:style>
  <w:style w:type="character" w:customStyle="1" w:styleId="11">
    <w:name w:val="页脚 Char"/>
    <w:link w:val="4"/>
    <w:uiPriority w:val="99"/>
    <w:rPr>
      <w:rFonts w:cs="Times New Roman"/>
      <w:sz w:val="18"/>
      <w:szCs w:val="18"/>
    </w:rPr>
  </w:style>
  <w:style w:type="character" w:customStyle="1" w:styleId="12">
    <w:name w:val="日期 Char"/>
    <w:link w:val="3"/>
    <w:uiPriority w:val="99"/>
    <w:rPr>
      <w:rFonts w:cs="Times New Roman"/>
    </w:rPr>
  </w:style>
  <w:style w:type="character" w:customStyle="1" w:styleId="13">
    <w:name w:val="标题 5 Char"/>
    <w:link w:val="2"/>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10</Pages>
  <Words>2814</Words>
  <Characters>3015</Characters>
  <Lines>25</Lines>
  <Paragraphs>7</Paragraphs>
  <TotalTime>52</TotalTime>
  <ScaleCrop>false</ScaleCrop>
  <LinksUpToDate>false</LinksUpToDate>
  <CharactersWithSpaces>3480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杨-火火</cp:lastModifiedBy>
  <cp:lastPrinted>2019-04-13T09:33:00Z</cp:lastPrinted>
  <dcterms:modified xsi:type="dcterms:W3CDTF">2022-09-13T05:41:26Z</dcterms:modified>
  <dc:title>梨树县XXX局</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6B10FEFF89954BAFBC97C46587CDDEE6</vt:lpwstr>
  </property>
</Properties>
</file>